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pPr w:leftFromText="180" w:rightFromText="180" w:vertAnchor="page" w:horzAnchor="margin" w:tblpX="-702" w:tblpY="1036"/>
        <w:tblW w:w="10998" w:type="dxa"/>
        <w:tblLayout w:type="fixed"/>
        <w:tblLook w:val="04A0" w:firstRow="1" w:lastRow="0" w:firstColumn="1" w:lastColumn="0" w:noHBand="0" w:noVBand="1"/>
      </w:tblPr>
      <w:tblGrid>
        <w:gridCol w:w="3818"/>
        <w:gridCol w:w="1420"/>
        <w:gridCol w:w="1440"/>
        <w:gridCol w:w="1350"/>
        <w:gridCol w:w="1530"/>
        <w:gridCol w:w="1440"/>
      </w:tblGrid>
      <w:tr w:rsidR="00490EBE" w:rsidRPr="00490EBE" w:rsidTr="00490EBE">
        <w:tc>
          <w:tcPr>
            <w:tcW w:w="10998" w:type="dxa"/>
            <w:gridSpan w:val="6"/>
            <w:shd w:val="clear" w:color="auto" w:fill="00B050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PEDIATRIC ANAPHYLAXIS</w:t>
            </w:r>
          </w:p>
        </w:tc>
      </w:tr>
      <w:tr w:rsidR="00490EBE" w:rsidRPr="00490EBE" w:rsidTr="00490EBE">
        <w:tc>
          <w:tcPr>
            <w:tcW w:w="3818" w:type="dxa"/>
            <w:shd w:val="clear" w:color="auto" w:fill="000000" w:themeFill="text1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FFFF00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10 kg</w:t>
            </w:r>
          </w:p>
        </w:tc>
        <w:tc>
          <w:tcPr>
            <w:tcW w:w="1440" w:type="dxa"/>
            <w:shd w:val="clear" w:color="auto" w:fill="FFFF00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15 kg</w:t>
            </w:r>
          </w:p>
        </w:tc>
        <w:tc>
          <w:tcPr>
            <w:tcW w:w="1350" w:type="dxa"/>
            <w:shd w:val="clear" w:color="auto" w:fill="FFFF00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20 kg</w:t>
            </w:r>
          </w:p>
        </w:tc>
        <w:tc>
          <w:tcPr>
            <w:tcW w:w="1530" w:type="dxa"/>
            <w:shd w:val="clear" w:color="auto" w:fill="FFFF00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25 kg</w:t>
            </w:r>
          </w:p>
        </w:tc>
        <w:tc>
          <w:tcPr>
            <w:tcW w:w="1440" w:type="dxa"/>
            <w:shd w:val="clear" w:color="auto" w:fill="FFFF00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30 kg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0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EPINEPH</w:t>
            </w: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rine</w:t>
            </w:r>
            <w:proofErr w:type="spellEnd"/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1:1000 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IM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0.1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0.15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0.2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0.25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0.3 mL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Diphenhydr</w:t>
            </w:r>
            <w:r w:rsidRPr="00490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AMINE</w:t>
            </w:r>
            <w:proofErr w:type="spellEnd"/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IV/IM/IO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0.2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0.3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0.4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0.5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0.6 mL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Methyl</w:t>
            </w:r>
            <w:r w:rsidRPr="00490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PREDNIS</w:t>
            </w: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olone</w:t>
            </w:r>
            <w:proofErr w:type="spellEnd"/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0.32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0.48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0.64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0.8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0.96 mL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Normal Saline Bolus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200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300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400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500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600 mL</w:t>
            </w:r>
          </w:p>
        </w:tc>
      </w:tr>
      <w:tr w:rsidR="00490EBE" w:rsidRPr="00490EBE" w:rsidTr="00490EBE">
        <w:tc>
          <w:tcPr>
            <w:tcW w:w="10998" w:type="dxa"/>
            <w:gridSpan w:val="6"/>
            <w:shd w:val="clear" w:color="auto" w:fill="FF0000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PEDIATRIC CARDIAC ARREST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0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EPINEPH</w:t>
            </w: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rine</w:t>
            </w:r>
            <w:proofErr w:type="spellEnd"/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1:10,000 IV/IO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1.5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2.5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3 mL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Amiodarone</w:t>
            </w:r>
            <w:proofErr w:type="spellEnd"/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IV/IO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1.5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2.5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3 mL</w:t>
            </w:r>
          </w:p>
          <w:p w:rsidR="00490EBE" w:rsidRPr="00490EBE" w:rsidRDefault="00490EBE" w:rsidP="00490EBE">
            <w:pPr>
              <w:tabs>
                <w:tab w:val="left" w:pos="376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Magnesium Sulfate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IV/IO </w:t>
            </w:r>
            <w:r w:rsidRPr="00490EB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*See Note*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8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12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16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20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24 mL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DC Shock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20J/40J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30J/60J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40J/80J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50J/100J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60J/120J</w:t>
            </w:r>
          </w:p>
        </w:tc>
      </w:tr>
      <w:tr w:rsidR="00490EBE" w:rsidRPr="00490EBE" w:rsidTr="00490EBE">
        <w:tc>
          <w:tcPr>
            <w:tcW w:w="10998" w:type="dxa"/>
            <w:gridSpan w:val="6"/>
            <w:shd w:val="clear" w:color="auto" w:fill="00B0F0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PEDIATRIC TACHYCARDIA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Adenosine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IV/IO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0.33 mL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0.67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0.5 mL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0.67 mL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1.33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0.83 mL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1.67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 mL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 mL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Amiodarone</w:t>
            </w:r>
            <w:proofErr w:type="spellEnd"/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IV/IO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1.5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2.5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3 mL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Synchronized Shock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5-10J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20J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8-15J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30J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10-20J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40J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13-25J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50J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15-30J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60J</w:t>
            </w:r>
          </w:p>
        </w:tc>
      </w:tr>
      <w:tr w:rsidR="00490EBE" w:rsidRPr="00490EBE" w:rsidTr="00490EBE">
        <w:tc>
          <w:tcPr>
            <w:tcW w:w="10998" w:type="dxa"/>
            <w:gridSpan w:val="6"/>
            <w:shd w:val="clear" w:color="auto" w:fill="FFC000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PEDIATRIC BRADYCARDIA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0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EPINEPH</w:t>
            </w: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rine</w:t>
            </w:r>
            <w:proofErr w:type="spellEnd"/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1:10,000 IV/IO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1.5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2.5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3 mL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Atropine IV/IO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3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4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5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6 mL</w:t>
            </w:r>
          </w:p>
        </w:tc>
      </w:tr>
      <w:tr w:rsidR="00490EBE" w:rsidRPr="00490EBE" w:rsidTr="00490EBE">
        <w:tc>
          <w:tcPr>
            <w:tcW w:w="10998" w:type="dxa"/>
            <w:gridSpan w:val="6"/>
            <w:shd w:val="clear" w:color="auto" w:fill="548DD4" w:themeFill="text2" w:themeFillTint="99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PEDIATRIC DIABETIC EMERGENCY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25% Dextrose IV/IO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40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60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80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100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100 mL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50% Dextrose IV/IO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XXX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30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40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50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50 mL</w:t>
            </w:r>
          </w:p>
        </w:tc>
      </w:tr>
      <w:tr w:rsidR="00490EBE" w:rsidRPr="00490EBE" w:rsidTr="00490EBE">
        <w:tc>
          <w:tcPr>
            <w:tcW w:w="10998" w:type="dxa"/>
            <w:gridSpan w:val="6"/>
            <w:shd w:val="clear" w:color="auto" w:fill="FABF8F" w:themeFill="accent6" w:themeFillTint="99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PEDIATRIC SEIZURE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Midazolam IV/IM/IO/IN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0.2-0.4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0.4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0.4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0.4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0.4 mL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Diaze</w:t>
            </w:r>
            <w:r w:rsidRPr="00490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PAM</w:t>
            </w:r>
            <w:proofErr w:type="spellEnd"/>
            <w:r w:rsidRPr="00490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IV/IO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0.2-0.6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0.3-0.8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0.4-0.8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0.5-0.8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0.6-0.8</w:t>
            </w:r>
          </w:p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mL</w:t>
            </w:r>
          </w:p>
        </w:tc>
      </w:tr>
      <w:tr w:rsidR="00490EBE" w:rsidRPr="00490EBE" w:rsidTr="00490EBE">
        <w:tc>
          <w:tcPr>
            <w:tcW w:w="10998" w:type="dxa"/>
            <w:gridSpan w:val="6"/>
            <w:shd w:val="clear" w:color="auto" w:fill="5F497A" w:themeFill="accent4" w:themeFillShade="BF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PEDIATRIC PAIN CONTROL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Morphine IV/IO/IM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0.1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0.15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.2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.25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.3 mL</w:t>
            </w:r>
          </w:p>
        </w:tc>
      </w:tr>
      <w:tr w:rsidR="00490EBE" w:rsidRPr="00490EBE" w:rsidTr="00490EBE">
        <w:tc>
          <w:tcPr>
            <w:tcW w:w="3818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90E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HYDRO</w:t>
            </w: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morphone</w:t>
            </w:r>
            <w:proofErr w:type="spellEnd"/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IV/IO/IM</w:t>
            </w:r>
          </w:p>
        </w:tc>
        <w:tc>
          <w:tcPr>
            <w:tcW w:w="142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0.15 mL</w:t>
            </w:r>
          </w:p>
        </w:tc>
        <w:tc>
          <w:tcPr>
            <w:tcW w:w="144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0.23 mL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0.3 mL</w:t>
            </w:r>
          </w:p>
        </w:tc>
        <w:tc>
          <w:tcPr>
            <w:tcW w:w="1530" w:type="dxa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0.38 mL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490EBE" w:rsidRPr="00490EBE" w:rsidRDefault="00490EBE" w:rsidP="00490EBE">
            <w:pPr>
              <w:tabs>
                <w:tab w:val="left" w:pos="3768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0EBE">
              <w:rPr>
                <w:rFonts w:ascii="Times New Roman" w:eastAsia="Calibri" w:hAnsi="Times New Roman" w:cs="Times New Roman"/>
                <w:sz w:val="28"/>
                <w:szCs w:val="28"/>
              </w:rPr>
              <w:t>0.45 mL</w:t>
            </w:r>
          </w:p>
        </w:tc>
      </w:tr>
    </w:tbl>
    <w:p w:rsidR="00490EBE" w:rsidRDefault="00490EBE" w:rsidP="00490EBE">
      <w:pPr>
        <w:tabs>
          <w:tab w:val="left" w:pos="3768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490EBE">
        <w:rPr>
          <w:rFonts w:ascii="Times New Roman" w:hAnsi="Times New Roman" w:cs="Times New Roman"/>
          <w:sz w:val="16"/>
          <w:szCs w:val="16"/>
        </w:rPr>
        <w:t xml:space="preserve"> </w:t>
      </w:r>
      <w:r w:rsidRPr="00CE73EC">
        <w:rPr>
          <w:rFonts w:ascii="Times New Roman" w:hAnsi="Times New Roman" w:cs="Times New Roman"/>
          <w:sz w:val="16"/>
          <w:szCs w:val="16"/>
          <w:highlight w:val="yellow"/>
        </w:rPr>
        <w:t>*Magnesium Sulfate dose after dilutio</w:t>
      </w:r>
      <w:r w:rsidRPr="00CE73EC">
        <w:rPr>
          <w:rFonts w:ascii="Times New Roman" w:hAnsi="Times New Roman" w:cs="Times New Roman"/>
          <w:sz w:val="16"/>
          <w:szCs w:val="16"/>
          <w:highlight w:val="yellow"/>
        </w:rPr>
        <w:t>n to 50mg/mL in 100mL bag of D5</w:t>
      </w:r>
    </w:p>
    <w:p w:rsidR="00490EBE" w:rsidRPr="00490EBE" w:rsidRDefault="00490EBE" w:rsidP="00490EBE">
      <w:pPr>
        <w:tabs>
          <w:tab w:val="left" w:pos="3768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Epinephrine 1:1000 (1mg/mL)        </w:t>
      </w:r>
      <w:r w:rsidRPr="00490EBE">
        <w:rPr>
          <w:rFonts w:ascii="Times New Roman" w:hAnsi="Times New Roman" w:cs="Times New Roman"/>
          <w:sz w:val="16"/>
          <w:szCs w:val="16"/>
        </w:rPr>
        <w:t>Epinephrine 1:10,000 (1mg/10mL)</w:t>
      </w:r>
      <w:r w:rsidRPr="00490EBE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490EBE">
        <w:rPr>
          <w:rFonts w:ascii="Times New Roman" w:hAnsi="Times New Roman" w:cs="Times New Roman"/>
          <w:sz w:val="16"/>
          <w:szCs w:val="16"/>
        </w:rPr>
        <w:t>Amiodarone</w:t>
      </w:r>
      <w:proofErr w:type="spellEnd"/>
      <w:r w:rsidRPr="00490EBE">
        <w:rPr>
          <w:rFonts w:ascii="Times New Roman" w:hAnsi="Times New Roman" w:cs="Times New Roman"/>
          <w:sz w:val="16"/>
          <w:szCs w:val="16"/>
        </w:rPr>
        <w:t xml:space="preserve"> (150mg/3mL)</w:t>
      </w:r>
    </w:p>
    <w:p w:rsidR="00490EBE" w:rsidRPr="00490EBE" w:rsidRDefault="00490EBE" w:rsidP="00490EBE">
      <w:pPr>
        <w:tabs>
          <w:tab w:val="left" w:pos="3768"/>
        </w:tabs>
        <w:spacing w:after="0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490EB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Diphenhydramine (50mg/mL)        </w:t>
      </w:r>
      <w:r w:rsidRPr="00490EBE">
        <w:rPr>
          <w:rFonts w:ascii="Times New Roman" w:hAnsi="Times New Roman" w:cs="Times New Roman"/>
          <w:sz w:val="16"/>
          <w:szCs w:val="16"/>
        </w:rPr>
        <w:t>Adenosine (6mg/2mL)</w:t>
      </w:r>
      <w:r w:rsidRPr="00490EB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90EBE">
        <w:rPr>
          <w:rFonts w:ascii="Times New Roman" w:hAnsi="Times New Roman" w:cs="Times New Roman"/>
          <w:sz w:val="16"/>
          <w:szCs w:val="16"/>
        </w:rPr>
        <w:t xml:space="preserve">Methylprednisolone </w:t>
      </w:r>
      <w:r w:rsidRPr="00490EBE">
        <w:rPr>
          <w:rFonts w:ascii="Times New Roman" w:hAnsi="Times New Roman" w:cs="Times New Roman"/>
          <w:sz w:val="16"/>
          <w:szCs w:val="16"/>
        </w:rPr>
        <w:t>(125mg/2mL)</w:t>
      </w:r>
    </w:p>
    <w:bookmarkEnd w:id="0"/>
    <w:p w:rsidR="00490EBE" w:rsidRPr="00490EBE" w:rsidRDefault="00490EBE" w:rsidP="00490EBE">
      <w:pPr>
        <w:tabs>
          <w:tab w:val="left" w:pos="3768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90EBE">
        <w:rPr>
          <w:rFonts w:ascii="Times New Roman" w:hAnsi="Times New Roman" w:cs="Times New Roman"/>
          <w:sz w:val="16"/>
          <w:szCs w:val="16"/>
        </w:rPr>
        <w:t xml:space="preserve"> Atropine</w:t>
      </w:r>
      <w:r>
        <w:rPr>
          <w:rFonts w:ascii="Times New Roman" w:hAnsi="Times New Roman" w:cs="Times New Roman"/>
          <w:sz w:val="16"/>
          <w:szCs w:val="16"/>
        </w:rPr>
        <w:t xml:space="preserve"> (1mg/10mL)                     Midazolam (5mg/mL)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90EBE">
        <w:rPr>
          <w:rFonts w:ascii="Times New Roman" w:hAnsi="Times New Roman" w:cs="Times New Roman"/>
          <w:sz w:val="16"/>
          <w:szCs w:val="16"/>
        </w:rPr>
        <w:t>Diazepam (10mg/2mL)</w:t>
      </w:r>
    </w:p>
    <w:p w:rsidR="00490EBE" w:rsidRDefault="00490EBE" w:rsidP="00490EBE">
      <w:pPr>
        <w:tabs>
          <w:tab w:val="left" w:pos="3768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90EB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Morphine (10mg/mL)                      </w:t>
      </w:r>
      <w:proofErr w:type="spellStart"/>
      <w:r w:rsidRPr="00490EBE">
        <w:rPr>
          <w:rFonts w:ascii="Times New Roman" w:hAnsi="Times New Roman" w:cs="Times New Roman"/>
          <w:sz w:val="16"/>
          <w:szCs w:val="16"/>
        </w:rPr>
        <w:t>Hydromorphone</w:t>
      </w:r>
      <w:proofErr w:type="spellEnd"/>
      <w:r w:rsidRPr="00490EBE">
        <w:rPr>
          <w:rFonts w:ascii="Times New Roman" w:hAnsi="Times New Roman" w:cs="Times New Roman"/>
          <w:sz w:val="16"/>
          <w:szCs w:val="16"/>
        </w:rPr>
        <w:t xml:space="preserve"> (2mg/mL)</w:t>
      </w:r>
    </w:p>
    <w:p w:rsidR="00490EBE" w:rsidRPr="00CE73EC" w:rsidRDefault="00490EBE" w:rsidP="00490EBE">
      <w:pPr>
        <w:tabs>
          <w:tab w:val="left" w:pos="3768"/>
        </w:tabs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  <w:r w:rsidRPr="00CE73EC">
        <w:rPr>
          <w:rFonts w:ascii="Times New Roman" w:hAnsi="Times New Roman" w:cs="Times New Roman"/>
          <w:color w:val="FF0000"/>
          <w:sz w:val="16"/>
          <w:szCs w:val="16"/>
        </w:rPr>
        <w:t>Warning: For educational purposes. The creator/distributor of this document makes no guarantee as to its correctness or accuracy.  The end user of this document assumes all responsibility for its use or misuse.</w:t>
      </w:r>
      <w:r w:rsidR="00CE73EC" w:rsidRPr="00CE73EC">
        <w:rPr>
          <w:rFonts w:ascii="Times New Roman" w:hAnsi="Times New Roman" w:cs="Times New Roman"/>
          <w:color w:val="FF0000"/>
          <w:sz w:val="16"/>
          <w:szCs w:val="16"/>
        </w:rPr>
        <w:t xml:space="preserve">  This template is not medical advice.  Always follow local protocols.</w:t>
      </w:r>
    </w:p>
    <w:p w:rsidR="009F14A4" w:rsidRPr="00490EBE" w:rsidRDefault="009F14A4">
      <w:pPr>
        <w:rPr>
          <w:sz w:val="16"/>
          <w:szCs w:val="16"/>
        </w:rPr>
      </w:pPr>
    </w:p>
    <w:sectPr w:rsidR="009F14A4" w:rsidRPr="00490EBE" w:rsidSect="00490EB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42" w:rsidRDefault="00080742" w:rsidP="00490EBE">
      <w:pPr>
        <w:spacing w:after="0" w:line="240" w:lineRule="auto"/>
      </w:pPr>
      <w:r>
        <w:separator/>
      </w:r>
    </w:p>
  </w:endnote>
  <w:endnote w:type="continuationSeparator" w:id="0">
    <w:p w:rsidR="00080742" w:rsidRDefault="00080742" w:rsidP="0049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42" w:rsidRDefault="00080742" w:rsidP="00490EBE">
      <w:pPr>
        <w:spacing w:after="0" w:line="240" w:lineRule="auto"/>
      </w:pPr>
      <w:r>
        <w:separator/>
      </w:r>
    </w:p>
  </w:footnote>
  <w:footnote w:type="continuationSeparator" w:id="0">
    <w:p w:rsidR="00080742" w:rsidRDefault="00080742" w:rsidP="0049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EBE" w:rsidRPr="00CE73EC" w:rsidRDefault="00490EBE" w:rsidP="00490EBE">
    <w:pPr>
      <w:pStyle w:val="Header"/>
      <w:jc w:val="center"/>
      <w:rPr>
        <w:b/>
        <w:sz w:val="24"/>
        <w:szCs w:val="24"/>
        <w:u w:val="single"/>
      </w:rPr>
    </w:pPr>
    <w:r w:rsidRPr="00CE73EC">
      <w:rPr>
        <w:b/>
        <w:sz w:val="24"/>
        <w:szCs w:val="24"/>
        <w:u w:val="single"/>
      </w:rPr>
      <w:t>For more tools, tips, and tricks</w:t>
    </w:r>
    <w:r w:rsidR="00CE73EC">
      <w:rPr>
        <w:b/>
        <w:sz w:val="24"/>
        <w:szCs w:val="24"/>
        <w:u w:val="single"/>
      </w:rPr>
      <w:t>,</w:t>
    </w:r>
    <w:r w:rsidRPr="00CE73EC">
      <w:rPr>
        <w:b/>
        <w:sz w:val="24"/>
        <w:szCs w:val="24"/>
        <w:u w:val="single"/>
      </w:rPr>
      <w:t xml:space="preserve"> visit www.DitchDocEM.com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BE"/>
    <w:rsid w:val="00080742"/>
    <w:rsid w:val="00490EBE"/>
    <w:rsid w:val="009F14A4"/>
    <w:rsid w:val="00C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9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9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EBE"/>
  </w:style>
  <w:style w:type="paragraph" w:styleId="Footer">
    <w:name w:val="footer"/>
    <w:basedOn w:val="Normal"/>
    <w:link w:val="FooterChar"/>
    <w:uiPriority w:val="99"/>
    <w:unhideWhenUsed/>
    <w:rsid w:val="0049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9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9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EBE"/>
  </w:style>
  <w:style w:type="paragraph" w:styleId="Footer">
    <w:name w:val="footer"/>
    <w:basedOn w:val="Normal"/>
    <w:link w:val="FooterChar"/>
    <w:uiPriority w:val="99"/>
    <w:unhideWhenUsed/>
    <w:rsid w:val="00490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Schedule</dc:creator>
  <cp:lastModifiedBy>Schedule</cp:lastModifiedBy>
  <cp:revision>1</cp:revision>
  <dcterms:created xsi:type="dcterms:W3CDTF">2016-12-11T02:19:00Z</dcterms:created>
  <dcterms:modified xsi:type="dcterms:W3CDTF">2016-12-11T02:42:00Z</dcterms:modified>
</cp:coreProperties>
</file>